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«Географическое образование»,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вожатской деятельности</w:t>
            </w:r>
          </w:p>
          <w:p>
            <w:pPr>
              <w:jc w:val="center"/>
              <w:spacing w:after="0" w:line="240" w:lineRule="auto"/>
              <w:rPr>
                <w:sz w:val="32"/>
                <w:szCs w:val="32"/>
              </w:rPr>
            </w:pPr>
            <w:r>
              <w:rPr>
                <w:rFonts w:ascii="Times New Roman" w:hAnsi="Times New Roman" w:cs="Times New Roman"/>
                <w:color w:val="#000000"/>
                <w:sz w:val="32"/>
                <w:szCs w:val="32"/>
              </w:rPr>
              <w:t> К.М.05.03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«Географическое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91.74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д.пед.н., профессор _________________ /Арбузова Е.Н./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«Географическое образование»;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вожатской деятельности»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285.18"/>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396.35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К.М.05.03 «Основы вожатской деятельности».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вожатской деятельности»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духовно-нравственное воспитание обучающихся на основе базовых национальных ценностей</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основы духовно-нравственного воспитания обучающихся</w:t>
            </w:r>
          </w:p>
        </w:tc>
      </w:tr>
      <w:tr>
        <w:trPr>
          <w:trHeight w:hRule="exact" w:val="855.539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ОПК-4.2 уметь  формировать у обучающих гражданскую позицию, толерантность и навык поведения в изменяющейся поликультурной среде, способность к труду и жизни в условиях  современного мира, культуры здорового  и безопасного образа жизни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владеть методами развития духовно-нравственных ценностей личности и модели нравственного поведения в профессиональной деятельности</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К.М.05.03 «Основы вожатской деятельности» относится к обязательной части, является дисциплиной Блока Б1. «Дисциплины (модули)». Модуль воспитательной деятельности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550.30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Социально-гуманитарный модуль</w:t>
            </w:r>
          </w:p>
          <w:p>
            <w:pPr>
              <w:jc w:val="center"/>
              <w:spacing w:after="0" w:line="240" w:lineRule="auto"/>
              <w:rPr>
                <w:sz w:val="22"/>
                <w:szCs w:val="22"/>
              </w:rPr>
            </w:pPr>
            <w:r>
              <w:rPr>
                <w:rFonts w:ascii="Times New Roman" w:hAnsi="Times New Roman" w:cs="Times New Roman"/>
                <w:color w:val="#000000"/>
                <w:sz w:val="22"/>
                <w:szCs w:val="22"/>
              </w:rPr>
              <w:t> Модуль "Содержание и методы развития детей в образовательной области "Физическое развитие""</w:t>
            </w:r>
          </w:p>
          <w:p>
            <w:pPr>
              <w:jc w:val="center"/>
              <w:spacing w:after="0" w:line="240" w:lineRule="auto"/>
              <w:rPr>
                <w:sz w:val="22"/>
                <w:szCs w:val="22"/>
              </w:rPr>
            </w:pPr>
            <w:r>
              <w:rPr>
                <w:rFonts w:ascii="Times New Roman" w:hAnsi="Times New Roman" w:cs="Times New Roman"/>
                <w:color w:val="#000000"/>
                <w:sz w:val="22"/>
                <w:szCs w:val="22"/>
              </w:rPr>
              <w:t> Педагогика и психология начального образования</w:t>
            </w:r>
          </w:p>
          <w:p>
            <w:pPr>
              <w:jc w:val="center"/>
              <w:spacing w:after="0" w:line="240" w:lineRule="auto"/>
              <w:rPr>
                <w:sz w:val="22"/>
                <w:szCs w:val="22"/>
              </w:rPr>
            </w:pPr>
            <w:r>
              <w:rPr>
                <w:rFonts w:ascii="Times New Roman" w:hAnsi="Times New Roman" w:cs="Times New Roman"/>
                <w:color w:val="#000000"/>
                <w:sz w:val="22"/>
                <w:szCs w:val="22"/>
              </w:rPr>
              <w:t> Психология воспитательных практик</w:t>
            </w:r>
          </w:p>
          <w:p>
            <w:pPr>
              <w:jc w:val="center"/>
              <w:spacing w:after="0" w:line="240" w:lineRule="auto"/>
              <w:rPr>
                <w:sz w:val="22"/>
                <w:szCs w:val="22"/>
              </w:rPr>
            </w:pPr>
            <w:r>
              <w:rPr>
                <w:rFonts w:ascii="Times New Roman" w:hAnsi="Times New Roman" w:cs="Times New Roman"/>
                <w:color w:val="#000000"/>
                <w:sz w:val="22"/>
                <w:szCs w:val="22"/>
              </w:rPr>
              <w:t> Обучение лиц с ОВЗ</w:t>
            </w:r>
          </w:p>
          <w:p>
            <w:pPr>
              <w:jc w:val="center"/>
              <w:spacing w:after="0" w:line="240" w:lineRule="auto"/>
              <w:rPr>
                <w:sz w:val="22"/>
                <w:szCs w:val="22"/>
              </w:rPr>
            </w:pPr>
            <w:r>
              <w:rPr>
                <w:rFonts w:ascii="Times New Roman" w:hAnsi="Times New Roman" w:cs="Times New Roman"/>
                <w:color w:val="#000000"/>
                <w:sz w:val="22"/>
                <w:szCs w:val="22"/>
              </w:rPr>
              <w:t> Организация внеурочной деятельности в основной и старшей школе</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Духовно-нравственное развитие детей дошкольного возраста</w:t>
            </w:r>
          </w:p>
          <w:p>
            <w:pPr>
              <w:jc w:val="center"/>
              <w:spacing w:after="0" w:line="240" w:lineRule="auto"/>
              <w:rPr>
                <w:sz w:val="22"/>
                <w:szCs w:val="22"/>
              </w:rPr>
            </w:pPr>
            <w:r>
              <w:rPr>
                <w:rFonts w:ascii="Times New Roman" w:hAnsi="Times New Roman" w:cs="Times New Roman"/>
                <w:color w:val="#000000"/>
                <w:sz w:val="22"/>
                <w:szCs w:val="22"/>
              </w:rPr>
              <w:t> Организация взаимодействия педагога с семьей дошкольника</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летняя (вожатская) практика</w:t>
            </w:r>
          </w:p>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(преподавательская)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ОПК-4</w:t>
            </w:r>
          </w:p>
        </w:tc>
      </w:tr>
      <w:tr>
        <w:trPr>
          <w:trHeight w:hRule="exact" w:val="138.9152"/>
        </w:trPr>
        <w:tc>
          <w:tcPr>
            <w:tcW w:w="3970" w:type="dxa"/>
          </w:tcPr>
          <w:p/>
        </w:tc>
        <w:tc>
          <w:tcPr>
            <w:tcW w:w="4679" w:type="dxa"/>
          </w:tcPr>
          <w:p/>
        </w:tc>
        <w:tc>
          <w:tcPr>
            <w:tcW w:w="993" w:type="dxa"/>
          </w:tcPr>
          <w:p/>
        </w:tc>
      </w:tr>
      <w:tr>
        <w:trPr>
          <w:trHeight w:hRule="exact" w:val="400.4287"/>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855.54"/>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6</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вожатской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вожатского дела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Нормативно-правовые основы вожатской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Психолого-педагогические основы вожатской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Сопровождение деятельности детского общественного объединения.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жизнедеятельности временного детского коллектива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работы вожатого в образовательной организации и детском лагере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Информационно-медийное сопровождение вожатской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Профессиональная этика и культура вожатого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безопасности жизнедеятельности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92.30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вожатского дела</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4341.93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Истоки, история и опыт вожатской деятельности в России. История коммунарского движения. Опыт деятельности Всероссийских и Международных детских центров. Современные тенденции развития вожатской деятельности. «Российское движение школьников».</w:t>
            </w:r>
          </w:p>
          <w:p>
            <w:pPr>
              <w:jc w:val="both"/>
              <w:spacing w:after="0" w:line="240" w:lineRule="auto"/>
              <w:rPr>
                <w:sz w:val="24"/>
                <w:szCs w:val="24"/>
              </w:rPr>
            </w:pPr>
            <w:r>
              <w:rPr>
                <w:rFonts w:ascii="Times New Roman" w:hAnsi="Times New Roman" w:cs="Times New Roman"/>
                <w:color w:val="#000000"/>
                <w:sz w:val="24"/>
                <w:szCs w:val="24"/>
              </w:rPr>
              <w:t> Сфера профессиональной деятельности вожатого. Роль вожатого в воспитательном процессе. Должностные обязанности вожатого. Требования к</w:t>
            </w:r>
          </w:p>
          <w:p>
            <w:pPr>
              <w:jc w:val="both"/>
              <w:spacing w:after="0" w:line="240" w:lineRule="auto"/>
              <w:rPr>
                <w:sz w:val="24"/>
                <w:szCs w:val="24"/>
              </w:rPr>
            </w:pPr>
            <w:r>
              <w:rPr>
                <w:rFonts w:ascii="Times New Roman" w:hAnsi="Times New Roman" w:cs="Times New Roman"/>
                <w:color w:val="#000000"/>
                <w:sz w:val="24"/>
                <w:szCs w:val="24"/>
              </w:rPr>
              <w:t> личности вожатого. Профессионально важные качества. Мотивация выбора профессии. Роль вожатской практики в развитии личности профессионала</w:t>
            </w:r>
          </w:p>
          <w:p>
            <w:pPr>
              <w:jc w:val="both"/>
              <w:spacing w:after="0" w:line="240" w:lineRule="auto"/>
              <w:rPr>
                <w:sz w:val="24"/>
                <w:szCs w:val="24"/>
              </w:rPr>
            </w:pPr>
            <w:r>
              <w:rPr>
                <w:rFonts w:ascii="Times New Roman" w:hAnsi="Times New Roman" w:cs="Times New Roman"/>
                <w:color w:val="#000000"/>
                <w:sz w:val="24"/>
                <w:szCs w:val="24"/>
              </w:rPr>
              <w:t> Истоки, история и опыт вожатской деятельности в России. История коммунарского движения. Опыт деятельности Всероссийских и Международных детских центров. Современные тенденции развития вожатской деятельности. «Российское движение школьников».</w:t>
            </w:r>
          </w:p>
          <w:p>
            <w:pPr>
              <w:jc w:val="both"/>
              <w:spacing w:after="0" w:line="240" w:lineRule="auto"/>
              <w:rPr>
                <w:sz w:val="24"/>
                <w:szCs w:val="24"/>
              </w:rPr>
            </w:pPr>
            <w:r>
              <w:rPr>
                <w:rFonts w:ascii="Times New Roman" w:hAnsi="Times New Roman" w:cs="Times New Roman"/>
                <w:color w:val="#000000"/>
                <w:sz w:val="24"/>
                <w:szCs w:val="24"/>
              </w:rPr>
              <w:t> Сфера профессиональной деятельности вожатого. Роль вожатого в воспитательном процессе. Должностные обязанности вожатого. Требования к</w:t>
            </w:r>
          </w:p>
          <w:p>
            <w:pPr>
              <w:jc w:val="both"/>
              <w:spacing w:after="0" w:line="240" w:lineRule="auto"/>
              <w:rPr>
                <w:sz w:val="24"/>
                <w:szCs w:val="24"/>
              </w:rPr>
            </w:pPr>
            <w:r>
              <w:rPr>
                <w:rFonts w:ascii="Times New Roman" w:hAnsi="Times New Roman" w:cs="Times New Roman"/>
                <w:color w:val="#000000"/>
                <w:sz w:val="24"/>
                <w:szCs w:val="24"/>
              </w:rPr>
              <w:t> личности вожатого. Профессионально важные качества. Мотивация выбора профессии. Роль вожатской практики в развитии личности профессионала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Нормативно-правовые основы вожатской деятельности</w:t>
            </w:r>
          </w:p>
        </w:tc>
      </w:tr>
      <w:tr>
        <w:trPr>
          <w:trHeight w:hRule="exact" w:val="4341.93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Обзор действующего законодательства в сфере образования и организации отдыха и оздоровления детей.</w:t>
            </w:r>
          </w:p>
          <w:p>
            <w:pPr>
              <w:jc w:val="both"/>
              <w:spacing w:after="0" w:line="240" w:lineRule="auto"/>
              <w:rPr>
                <w:sz w:val="24"/>
                <w:szCs w:val="24"/>
              </w:rPr>
            </w:pPr>
            <w:r>
              <w:rPr>
                <w:rFonts w:ascii="Times New Roman" w:hAnsi="Times New Roman" w:cs="Times New Roman"/>
                <w:color w:val="#000000"/>
                <w:sz w:val="24"/>
                <w:szCs w:val="24"/>
              </w:rPr>
              <w:t> Конвенция ООН о правах ребенка и другие правовые акты, обеспечивающие физическое, интеллектуальное, нравственное и социальное развитие ребенка. Сфера профессиональной деятельности вожатого. Устав РДШ. Правовые аспекты деятельности вожатого, сопровождающего работу первичного отделения Российского движения школьников.</w:t>
            </w:r>
          </w:p>
          <w:p>
            <w:pPr>
              <w:jc w:val="both"/>
              <w:spacing w:after="0" w:line="240" w:lineRule="auto"/>
              <w:rPr>
                <w:sz w:val="24"/>
                <w:szCs w:val="24"/>
              </w:rPr>
            </w:pPr>
            <w:r>
              <w:rPr>
                <w:rFonts w:ascii="Times New Roman" w:hAnsi="Times New Roman" w:cs="Times New Roman"/>
                <w:color w:val="#000000"/>
                <w:sz w:val="24"/>
                <w:szCs w:val="24"/>
              </w:rPr>
              <w:t> Правовые основы деятельности. Правовые аспекты организации детского отдыха. Особенности трудового законодательства применительно к работе вожатого. Квалификационные требования, предъявляемые к вожатому. Права и обязанности вожатого. Трудовой договор. Порядок оформления по трудоустройству и порядок увольнения.Система оплаты труда вожатых. Охрана труда вожатого. Защита персональных данных. Система должностного подчинения в школе, организация дополнительного образования в детском оздоровительном лагере. Документация деятельности вожатого. Правовые аспекты деятельности вожатого, сопровождающего. работу первичного отделения Российского движения школьников.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Психолого-педагогические основы вожатской деятельности.</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Педагогическое мастерство вожатого. Конфликты в детском коллективе, способы их разрешения, медиация. Работа вожатого с одаренными детьми. Работа вожатого с детьми, находящимися в трудной жизненной ситуации. Работа вожатого с детьми с ограниченными возможностями здоровья</w:t>
            </w:r>
          </w:p>
          <w:p>
            <w:pPr>
              <w:jc w:val="both"/>
              <w:spacing w:after="0" w:line="240" w:lineRule="auto"/>
              <w:rPr>
                <w:sz w:val="24"/>
                <w:szCs w:val="24"/>
              </w:rPr>
            </w:pPr>
            <w:r>
              <w:rPr>
                <w:rFonts w:ascii="Times New Roman" w:hAnsi="Times New Roman" w:cs="Times New Roman"/>
                <w:color w:val="#000000"/>
                <w:sz w:val="24"/>
                <w:szCs w:val="24"/>
              </w:rPr>
              <w:t> Педагогическое мастерство вожатого. Психологические особенности современных школьников в разные возрастные периоды. Целеполагание в работе вожатого.</w:t>
            </w:r>
          </w:p>
          <w:p>
            <w:pPr>
              <w:jc w:val="both"/>
              <w:spacing w:after="0" w:line="240" w:lineRule="auto"/>
              <w:rPr>
                <w:sz w:val="24"/>
                <w:szCs w:val="24"/>
              </w:rPr>
            </w:pPr>
            <w:r>
              <w:rPr>
                <w:rFonts w:ascii="Times New Roman" w:hAnsi="Times New Roman" w:cs="Times New Roman"/>
                <w:color w:val="#000000"/>
                <w:sz w:val="24"/>
                <w:szCs w:val="24"/>
              </w:rPr>
              <w:t> 	Саморегуляция эмоционального поведения. Техника поведения вожатого, словесные и бессловесные действия вожатого. Личностная адаптация обучающихся к вожатской деятельности. Рефлексия как основа социально-педагогической компетентности вожатого. Профилактика эмоционального выгорания. Взаимодействие вожатого с социально- психологическими службами образовательной организации и детского оздоровительного лагеря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Сопровождение деятельности детского общественного объединения.</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Сопровождение деятельности детского общественного объединения. Методика подготовки и формы проведения дел коллективной, групповой, индивидуальной деятельности</w:t>
            </w:r>
          </w:p>
          <w:p>
            <w:pPr>
              <w:jc w:val="both"/>
              <w:spacing w:after="0" w:line="240" w:lineRule="auto"/>
              <w:rPr>
                <w:sz w:val="24"/>
                <w:szCs w:val="24"/>
              </w:rPr>
            </w:pPr>
            <w:r>
              <w:rPr>
                <w:rFonts w:ascii="Times New Roman" w:hAnsi="Times New Roman" w:cs="Times New Roman"/>
                <w:color w:val="#000000"/>
                <w:sz w:val="24"/>
                <w:szCs w:val="24"/>
              </w:rPr>
              <w:t> Разновидности коллективных творческих дел (КТД)(по тематическому признаку) общественной, познавательной, художественно-эстетической направленности. Виды общего сбора («общего круга»): сбор-«огонёк» (откровенный разговор), сбор знакомства, сбор-разработка коллективного творческого дела, сбор-анализ. Сбор как средство эмоционального сплочения коллектива, активный метод обучения гуманной и творческой коллективной жизни детей и взрослых, способ подведения итогов и старт к новым перспективам. Содержание методики КТД: коллективного планирования, повседневной организаторской работы, коллективного обсуждения и оценки результатов работы. 	Микро -группы, инициативная группа. Методика организации и проведения отрядного собрания. Способы принятия решения. Методика организации отрядных «огоньков». Формы отрядных «огоньков»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жизнедеятельности временного детского коллектива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Методика формирования временного детского коллектива и управление им. Характеристика основных периодов смены. Логика развития лагерной смены. Периоды смены. Позиция педагога в каждом из периодов. Основные моменты режима дня.Тематические дни, смены в лагере. Сюжетно-ролевая игра в смене. Разработка конкурсно-игровых программ: идея, содержание, организация, проведение, оформление, призы, анализ дела.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работы вожатого в образовательной организации и детском лагере</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Методика и технология подготовки и проведения коллективного творческого дела.</w:t>
            </w:r>
          </w:p>
          <w:p>
            <w:pPr>
              <w:jc w:val="both"/>
              <w:spacing w:after="0" w:line="240" w:lineRule="auto"/>
              <w:rPr>
                <w:sz w:val="24"/>
                <w:szCs w:val="24"/>
              </w:rPr>
            </w:pPr>
            <w:r>
              <w:rPr>
                <w:rFonts w:ascii="Times New Roman" w:hAnsi="Times New Roman" w:cs="Times New Roman"/>
                <w:color w:val="#000000"/>
                <w:sz w:val="24"/>
                <w:szCs w:val="24"/>
              </w:rPr>
              <w:t> Организация и проведение массовых мероприятий. Организация дискуссионных мероприятий. Организация и проведение линеек. Игротехника. Проектная деятельность.</w:t>
            </w:r>
          </w:p>
          <w:p>
            <w:pPr>
              <w:jc w:val="both"/>
              <w:spacing w:after="0" w:line="240" w:lineRule="auto"/>
              <w:rPr>
                <w:sz w:val="24"/>
                <w:szCs w:val="24"/>
              </w:rPr>
            </w:pPr>
            <w:r>
              <w:rPr>
                <w:rFonts w:ascii="Times New Roman" w:hAnsi="Times New Roman" w:cs="Times New Roman"/>
                <w:color w:val="#000000"/>
                <w:sz w:val="24"/>
                <w:szCs w:val="24"/>
              </w:rPr>
              <w:t> Формирование ценностей здорового образа жизни. Организация спортивных мероприятий. Профилактика травматизма при проведении спортивных мероприятий.</w:t>
            </w:r>
          </w:p>
          <w:p>
            <w:pPr>
              <w:jc w:val="both"/>
              <w:spacing w:after="0" w:line="240" w:lineRule="auto"/>
              <w:rPr>
                <w:sz w:val="24"/>
                <w:szCs w:val="24"/>
              </w:rPr>
            </w:pPr>
            <w:r>
              <w:rPr>
                <w:rFonts w:ascii="Times New Roman" w:hAnsi="Times New Roman" w:cs="Times New Roman"/>
                <w:color w:val="#000000"/>
                <w:sz w:val="24"/>
                <w:szCs w:val="24"/>
              </w:rPr>
              <w:t> Туризм и краеведение. Песенное и танцевальное творчество. Творческое развитие как направление деятельности РДШ.</w:t>
            </w:r>
          </w:p>
          <w:p>
            <w:pPr>
              <w:jc w:val="both"/>
              <w:spacing w:after="0" w:line="240" w:lineRule="auto"/>
              <w:rPr>
                <w:sz w:val="24"/>
                <w:szCs w:val="24"/>
              </w:rPr>
            </w:pPr>
            <w:r>
              <w:rPr>
                <w:rFonts w:ascii="Times New Roman" w:hAnsi="Times New Roman" w:cs="Times New Roman"/>
                <w:color w:val="#000000"/>
                <w:sz w:val="24"/>
                <w:szCs w:val="24"/>
              </w:rPr>
              <w:t> Патриотическое воспитание.</w:t>
            </w:r>
          </w:p>
          <w:p>
            <w:pPr>
              <w:jc w:val="both"/>
              <w:spacing w:after="0" w:line="240" w:lineRule="auto"/>
              <w:rPr>
                <w:sz w:val="24"/>
                <w:szCs w:val="24"/>
              </w:rPr>
            </w:pPr>
            <w:r>
              <w:rPr>
                <w:rFonts w:ascii="Times New Roman" w:hAnsi="Times New Roman" w:cs="Times New Roman"/>
                <w:color w:val="#000000"/>
                <w:sz w:val="24"/>
                <w:szCs w:val="24"/>
              </w:rPr>
              <w:t> Экологическое воспитание.Профориентация.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Информационно-медийное сопровождение вожатской деятельности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Информационно-медийное направление деятельности РДШ. Ценностно-смысловое содержание деятельности по информационно-медийному направлению РДШ.</w:t>
            </w:r>
          </w:p>
          <w:p>
            <w:pPr>
              <w:jc w:val="both"/>
              <w:spacing w:after="0" w:line="240" w:lineRule="auto"/>
              <w:rPr>
                <w:sz w:val="24"/>
                <w:szCs w:val="24"/>
              </w:rPr>
            </w:pPr>
            <w:r>
              <w:rPr>
                <w:rFonts w:ascii="Times New Roman" w:hAnsi="Times New Roman" w:cs="Times New Roman"/>
                <w:color w:val="#000000"/>
                <w:sz w:val="24"/>
                <w:szCs w:val="24"/>
              </w:rPr>
              <w:t> Основные направления информационно-медийной деятельности РДШ.</w:t>
            </w:r>
          </w:p>
          <w:p>
            <w:pPr>
              <w:jc w:val="both"/>
              <w:spacing w:after="0" w:line="240" w:lineRule="auto"/>
              <w:rPr>
                <w:sz w:val="24"/>
                <w:szCs w:val="24"/>
              </w:rPr>
            </w:pPr>
            <w:r>
              <w:rPr>
                <w:rFonts w:ascii="Times New Roman" w:hAnsi="Times New Roman" w:cs="Times New Roman"/>
                <w:color w:val="#000000"/>
                <w:sz w:val="24"/>
                <w:szCs w:val="24"/>
              </w:rPr>
              <w:t> Различные подходы к типологии СМИ. Организация работы пресс-центра.</w:t>
            </w:r>
          </w:p>
          <w:p>
            <w:pPr>
              <w:jc w:val="both"/>
              <w:spacing w:after="0" w:line="240" w:lineRule="auto"/>
              <w:rPr>
                <w:sz w:val="24"/>
                <w:szCs w:val="24"/>
              </w:rPr>
            </w:pPr>
            <w:r>
              <w:rPr>
                <w:rFonts w:ascii="Times New Roman" w:hAnsi="Times New Roman" w:cs="Times New Roman"/>
                <w:color w:val="#000000"/>
                <w:sz w:val="24"/>
                <w:szCs w:val="24"/>
              </w:rPr>
              <w:t> Информационная безопасность.</w:t>
            </w:r>
          </w:p>
          <w:p>
            <w:pPr>
              <w:jc w:val="both"/>
              <w:spacing w:after="0" w:line="240" w:lineRule="auto"/>
              <w:rPr>
                <w:sz w:val="24"/>
                <w:szCs w:val="24"/>
              </w:rPr>
            </w:pPr>
            <w:r>
              <w:rPr>
                <w:rFonts w:ascii="Times New Roman" w:hAnsi="Times New Roman" w:cs="Times New Roman"/>
                <w:color w:val="#000000"/>
                <w:sz w:val="24"/>
                <w:szCs w:val="24"/>
              </w:rPr>
              <w:t> Игры с использованием информационных технологий.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Профессиональная этика и культура вожатого</w:t>
            </w:r>
          </w:p>
        </w:tc>
      </w:tr>
      <w:tr>
        <w:trPr>
          <w:trHeight w:hRule="exact" w:val="4073.6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Основы вожатской этики. Этика взаимоотношений с детьми, их родителями и коллегами.</w:t>
            </w:r>
          </w:p>
          <w:p>
            <w:pPr>
              <w:jc w:val="both"/>
              <w:spacing w:after="0" w:line="240" w:lineRule="auto"/>
              <w:rPr>
                <w:sz w:val="24"/>
                <w:szCs w:val="24"/>
              </w:rPr>
            </w:pPr>
            <w:r>
              <w:rPr>
                <w:rFonts w:ascii="Times New Roman" w:hAnsi="Times New Roman" w:cs="Times New Roman"/>
                <w:color w:val="#000000"/>
                <w:sz w:val="24"/>
                <w:szCs w:val="24"/>
              </w:rPr>
              <w:t> Корпоративная культура.орпоративная культура детского поведения объединения</w:t>
            </w:r>
          </w:p>
          <w:p>
            <w:pPr>
              <w:jc w:val="both"/>
              <w:spacing w:after="0" w:line="240" w:lineRule="auto"/>
              <w:rPr>
                <w:sz w:val="24"/>
                <w:szCs w:val="24"/>
              </w:rPr>
            </w:pPr>
            <w:r>
              <w:rPr>
                <w:rFonts w:ascii="Times New Roman" w:hAnsi="Times New Roman" w:cs="Times New Roman"/>
                <w:color w:val="#000000"/>
                <w:sz w:val="24"/>
                <w:szCs w:val="24"/>
              </w:rPr>
              <w:t> или детского лагеря как система социокультурных связей и отношений. Параметры и характеристики определения корпоративнойкультуры детского коллектива. Стихийное и целенаправленное формирование корпоративной культуры. Имидж вожатого.</w:t>
            </w:r>
          </w:p>
          <w:p>
            <w:pPr>
              <w:jc w:val="both"/>
              <w:spacing w:after="0" w:line="240" w:lineRule="auto"/>
              <w:rPr>
                <w:sz w:val="24"/>
                <w:szCs w:val="24"/>
              </w:rPr>
            </w:pPr>
            <w:r>
              <w:rPr>
                <w:rFonts w:ascii="Times New Roman" w:hAnsi="Times New Roman" w:cs="Times New Roman"/>
                <w:color w:val="#000000"/>
                <w:sz w:val="24"/>
                <w:szCs w:val="24"/>
              </w:rPr>
              <w:t> Поддержание имиджа в рамках корпоративной культуры образовательной организации</w:t>
            </w:r>
          </w:p>
          <w:p>
            <w:pPr>
              <w:jc w:val="both"/>
              <w:spacing w:after="0" w:line="240" w:lineRule="auto"/>
              <w:rPr>
                <w:sz w:val="24"/>
                <w:szCs w:val="24"/>
              </w:rPr>
            </w:pPr>
            <w:r>
              <w:rPr>
                <w:rFonts w:ascii="Times New Roman" w:hAnsi="Times New Roman" w:cs="Times New Roman"/>
                <w:color w:val="#000000"/>
                <w:sz w:val="24"/>
                <w:szCs w:val="24"/>
              </w:rPr>
              <w:t> или лагеря</w:t>
            </w:r>
          </w:p>
          <w:p>
            <w:pPr>
              <w:jc w:val="both"/>
              <w:spacing w:after="0" w:line="240" w:lineRule="auto"/>
              <w:rPr>
                <w:sz w:val="24"/>
                <w:szCs w:val="24"/>
              </w:rPr>
            </w:pPr>
            <w:r>
              <w:rPr>
                <w:rFonts w:ascii="Times New Roman" w:hAnsi="Times New Roman" w:cs="Times New Roman"/>
                <w:color w:val="#000000"/>
                <w:sz w:val="24"/>
                <w:szCs w:val="24"/>
              </w:rPr>
              <w:t>  Имидж вожатого</w:t>
            </w:r>
          </w:p>
          <w:p>
            <w:pPr>
              <w:jc w:val="both"/>
              <w:spacing w:after="0" w:line="240" w:lineRule="auto"/>
              <w:rPr>
                <w:sz w:val="24"/>
                <w:szCs w:val="24"/>
              </w:rPr>
            </w:pPr>
            <w:r>
              <w:rPr>
                <w:rFonts w:ascii="Times New Roman" w:hAnsi="Times New Roman" w:cs="Times New Roman"/>
                <w:color w:val="#000000"/>
                <w:sz w:val="24"/>
                <w:szCs w:val="24"/>
              </w:rPr>
              <w:t> Основы вожатской этики. Этика взаимоотношений с детьми, их родителями и коллегами.</w:t>
            </w:r>
          </w:p>
          <w:p>
            <w:pPr>
              <w:jc w:val="both"/>
              <w:spacing w:after="0" w:line="240" w:lineRule="auto"/>
              <w:rPr>
                <w:sz w:val="24"/>
                <w:szCs w:val="24"/>
              </w:rPr>
            </w:pPr>
            <w:r>
              <w:rPr>
                <w:rFonts w:ascii="Times New Roman" w:hAnsi="Times New Roman" w:cs="Times New Roman"/>
                <w:color w:val="#000000"/>
                <w:sz w:val="24"/>
                <w:szCs w:val="24"/>
              </w:rPr>
              <w:t> Корпоративная культура.орпоративная культура детского поведения объединения</w:t>
            </w:r>
          </w:p>
          <w:p>
            <w:pPr>
              <w:jc w:val="both"/>
              <w:spacing w:after="0" w:line="240" w:lineRule="auto"/>
              <w:rPr>
                <w:sz w:val="24"/>
                <w:szCs w:val="24"/>
              </w:rPr>
            </w:pPr>
            <w:r>
              <w:rPr>
                <w:rFonts w:ascii="Times New Roman" w:hAnsi="Times New Roman" w:cs="Times New Roman"/>
                <w:color w:val="#000000"/>
                <w:sz w:val="24"/>
                <w:szCs w:val="24"/>
              </w:rPr>
              <w:t> или детского лагеря как система социокультурных связей и отношений. Параметры и характеристики определения корпоративнойкультуры детского коллектива. Стихийное и целенаправленное формирование корпоративной культуры. Имидж вожатого.</w:t>
            </w:r>
          </w:p>
          <w:p>
            <w:pPr>
              <w:jc w:val="both"/>
              <w:spacing w:after="0" w:line="240" w:lineRule="auto"/>
              <w:rPr>
                <w:sz w:val="24"/>
                <w:szCs w:val="24"/>
              </w:rPr>
            </w:pPr>
            <w:r>
              <w:rPr>
                <w:rFonts w:ascii="Times New Roman" w:hAnsi="Times New Roman" w:cs="Times New Roman"/>
                <w:color w:val="#000000"/>
                <w:sz w:val="24"/>
                <w:szCs w:val="24"/>
              </w:rPr>
              <w:t> Поддержание имиджа в рамках корпоративной культуры образовательной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или лагеря</w:t>
            </w:r>
          </w:p>
          <w:p>
            <w:pPr>
              <w:jc w:val="both"/>
              <w:spacing w:after="0" w:line="240" w:lineRule="auto"/>
              <w:rPr>
                <w:sz w:val="24"/>
                <w:szCs w:val="24"/>
              </w:rPr>
            </w:pPr>
            <w:r>
              <w:rPr>
                <w:rFonts w:ascii="Times New Roman" w:hAnsi="Times New Roman" w:cs="Times New Roman"/>
                <w:color w:val="#000000"/>
                <w:sz w:val="24"/>
                <w:szCs w:val="24"/>
              </w:rPr>
              <w:t>  Имидж вожатого</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безопасности жизнедеятельности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Ответственность вожатого за физическое и психологическое благополучие ребенка.</w:t>
            </w:r>
          </w:p>
          <w:p>
            <w:pPr>
              <w:jc w:val="both"/>
              <w:spacing w:after="0" w:line="240" w:lineRule="auto"/>
              <w:rPr>
                <w:sz w:val="24"/>
                <w:szCs w:val="24"/>
              </w:rPr>
            </w:pPr>
            <w:r>
              <w:rPr>
                <w:rFonts w:ascii="Times New Roman" w:hAnsi="Times New Roman" w:cs="Times New Roman"/>
                <w:color w:val="#000000"/>
                <w:sz w:val="24"/>
                <w:szCs w:val="24"/>
              </w:rPr>
              <w:t> Алгоритмы поведения вожатого в экстремальных ситуациях.</w:t>
            </w:r>
          </w:p>
          <w:p>
            <w:pPr>
              <w:jc w:val="both"/>
              <w:spacing w:after="0" w:line="240" w:lineRule="auto"/>
              <w:rPr>
                <w:sz w:val="24"/>
                <w:szCs w:val="24"/>
              </w:rPr>
            </w:pPr>
            <w:r>
              <w:rPr>
                <w:rFonts w:ascii="Times New Roman" w:hAnsi="Times New Roman" w:cs="Times New Roman"/>
                <w:color w:val="#000000"/>
                <w:sz w:val="24"/>
                <w:szCs w:val="24"/>
              </w:rPr>
              <w:t> Первая доврачебная помощь. Дети с ОВЗ как объект особого внимания сотрудников образовательной организации и детских оздоровительных лагерей.</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22"/>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22"/>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277.8301"/>
        </w:trPr>
        <w:tc>
          <w:tcPr>
            <w:tcW w:w="9654" w:type="dxa"/>
            <w:tcBorders>
</w:tcBorders>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вожатской деятельности» / Арбузова Е.Н..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Подготовка</w:t>
            </w:r>
            <w:r>
              <w:rPr/>
              <w:t xml:space="preserve"> </w:t>
            </w:r>
            <w:r>
              <w:rPr>
                <w:rFonts w:ascii="Times New Roman" w:hAnsi="Times New Roman" w:cs="Times New Roman"/>
                <w:color w:val="#000000"/>
                <w:sz w:val="24"/>
                <w:szCs w:val="24"/>
              </w:rPr>
              <w:t>педагога</w:t>
            </w:r>
            <w:r>
              <w:rPr/>
              <w:t xml:space="preserve"> </w:t>
            </w:r>
            <w:r>
              <w:rPr>
                <w:rFonts w:ascii="Times New Roman" w:hAnsi="Times New Roman" w:cs="Times New Roman"/>
                <w:color w:val="#000000"/>
                <w:sz w:val="24"/>
                <w:szCs w:val="24"/>
              </w:rPr>
              <w:t>дополнительного</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избранной</w:t>
            </w:r>
            <w:r>
              <w:rPr/>
              <w:t xml:space="preserve"> </w:t>
            </w:r>
            <w:r>
              <w:rPr>
                <w:rFonts w:ascii="Times New Roman" w:hAnsi="Times New Roman" w:cs="Times New Roman"/>
                <w:color w:val="#000000"/>
                <w:sz w:val="24"/>
                <w:szCs w:val="24"/>
              </w:rPr>
              <w:t>области</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вожатская</w:t>
            </w:r>
            <w:r>
              <w:rPr/>
              <w:t xml:space="preserve"> </w:t>
            </w:r>
            <w:r>
              <w:rPr>
                <w:rFonts w:ascii="Times New Roman" w:hAnsi="Times New Roman" w:cs="Times New Roman"/>
                <w:color w:val="#000000"/>
                <w:sz w:val="24"/>
                <w:szCs w:val="24"/>
              </w:rPr>
              <w:t>деятельность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Кулаченко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978-5-534-12332-6.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https://urait.ru/bcode/447362</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вожатской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Кулаченко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978-5-534-11447-8.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https://urait.ru/bcode/455450</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9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Нормативно-правовые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вожатской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Лесконог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Сажина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Смирнова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Лесконог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Матюхиной</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978-5-4263-0506-9.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http://www.iprbookshop.ru/75969.html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5"/>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2811.0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004.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5432.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61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2024-2025_ФГОС3++2024_Бак-ОФО-ПО(ГО)(24)_plx_Основы вожатской деятельности</dc:title>
  <dc:creator>FastReport.NET</dc:creator>
</cp:coreProperties>
</file>